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5" w:rsidRPr="009422B8" w:rsidRDefault="00AE3105" w:rsidP="00A92EF1">
      <w:pPr>
        <w:spacing w:line="24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9422B8">
        <w:rPr>
          <w:rFonts w:ascii="Trebuchet MS" w:hAnsi="Trebuchet MS" w:cs="Arial"/>
          <w:b/>
          <w:sz w:val="28"/>
          <w:szCs w:val="28"/>
        </w:rPr>
        <w:t>АНКЕТА</w:t>
      </w:r>
    </w:p>
    <w:p w:rsidR="00AE3105" w:rsidRPr="009422B8" w:rsidRDefault="00AE3105" w:rsidP="00A92EF1">
      <w:pPr>
        <w:spacing w:line="24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9422B8">
        <w:rPr>
          <w:rFonts w:ascii="Trebuchet MS" w:hAnsi="Trebuchet MS" w:cs="Arial"/>
          <w:b/>
          <w:sz w:val="28"/>
          <w:szCs w:val="28"/>
        </w:rPr>
        <w:t>Ключевые показатели малярно-кузовного цеха</w:t>
      </w:r>
    </w:p>
    <w:tbl>
      <w:tblPr>
        <w:tblW w:w="10931" w:type="dxa"/>
        <w:tblInd w:w="85" w:type="dxa"/>
        <w:tblLook w:val="0000" w:firstRow="0" w:lastRow="0" w:firstColumn="0" w:lastColumn="0" w:noHBand="0" w:noVBand="0"/>
      </w:tblPr>
      <w:tblGrid>
        <w:gridCol w:w="23"/>
        <w:gridCol w:w="4256"/>
        <w:gridCol w:w="40"/>
        <w:gridCol w:w="564"/>
        <w:gridCol w:w="309"/>
        <w:gridCol w:w="47"/>
        <w:gridCol w:w="454"/>
        <w:gridCol w:w="372"/>
        <w:gridCol w:w="134"/>
        <w:gridCol w:w="102"/>
        <w:gridCol w:w="134"/>
        <w:gridCol w:w="888"/>
        <w:gridCol w:w="341"/>
        <w:gridCol w:w="1211"/>
        <w:gridCol w:w="207"/>
        <w:gridCol w:w="297"/>
        <w:gridCol w:w="1238"/>
        <w:gridCol w:w="314"/>
      </w:tblGrid>
      <w:tr w:rsidR="00AE3105" w:rsidRPr="009422B8" w:rsidTr="002C1982">
        <w:trPr>
          <w:gridBefore w:val="1"/>
          <w:gridAfter w:val="2"/>
          <w:wBefore w:w="23" w:type="dxa"/>
          <w:wAfter w:w="1552" w:type="dxa"/>
          <w:trHeight w:val="304"/>
        </w:trPr>
        <w:tc>
          <w:tcPr>
            <w:tcW w:w="4860" w:type="dxa"/>
            <w:gridSpan w:val="3"/>
            <w:shd w:val="clear" w:color="auto" w:fill="auto"/>
            <w:noWrap/>
            <w:vAlign w:val="bottom"/>
          </w:tcPr>
          <w:p w:rsidR="00AE3105" w:rsidRPr="002C1982" w:rsidRDefault="002C1982" w:rsidP="002C1982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2C1982">
              <w:rPr>
                <w:rFonts w:ascii="Trebuchet MS" w:eastAsia="Times New Roman" w:hAnsi="Trebuchet MS" w:cs="Arial"/>
                <w:sz w:val="26"/>
                <w:szCs w:val="26"/>
              </w:rPr>
              <w:t>Исследуемый п</w:t>
            </w:r>
            <w:r w:rsidR="00AE3105" w:rsidRPr="002C1982">
              <w:rPr>
                <w:rFonts w:ascii="Trebuchet MS" w:eastAsia="Times New Roman" w:hAnsi="Trebuchet MS" w:cs="Arial"/>
                <w:sz w:val="26"/>
                <w:szCs w:val="26"/>
              </w:rPr>
              <w:t>ериод</w:t>
            </w:r>
          </w:p>
        </w:tc>
        <w:tc>
          <w:tcPr>
            <w:tcW w:w="449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105" w:rsidRPr="002C1982" w:rsidRDefault="00AE3105" w:rsidP="002C1982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AE3105" w:rsidRPr="009422B8" w:rsidTr="002C1982">
        <w:trPr>
          <w:gridBefore w:val="1"/>
          <w:gridAfter w:val="2"/>
          <w:wBefore w:w="23" w:type="dxa"/>
          <w:wAfter w:w="1552" w:type="dxa"/>
          <w:trHeight w:val="116"/>
        </w:trPr>
        <w:tc>
          <w:tcPr>
            <w:tcW w:w="4860" w:type="dxa"/>
            <w:gridSpan w:val="3"/>
            <w:shd w:val="clear" w:color="auto" w:fill="auto"/>
            <w:noWrap/>
            <w:vAlign w:val="bottom"/>
          </w:tcPr>
          <w:p w:rsidR="00AE3105" w:rsidRPr="002C1982" w:rsidRDefault="00AE3105" w:rsidP="002C1982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2C1982">
              <w:rPr>
                <w:rFonts w:ascii="Trebuchet MS" w:eastAsia="Times New Roman" w:hAnsi="Trebuchet MS" w:cs="Arial"/>
                <w:sz w:val="26"/>
                <w:szCs w:val="26"/>
              </w:rPr>
              <w:t>Марка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E3105" w:rsidRPr="002C1982" w:rsidRDefault="00AE3105" w:rsidP="002C1982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2C1982" w:rsidRPr="009422B8" w:rsidTr="002C1982">
        <w:trPr>
          <w:gridBefore w:val="1"/>
          <w:gridAfter w:val="2"/>
          <w:wBefore w:w="23" w:type="dxa"/>
          <w:wAfter w:w="1552" w:type="dxa"/>
          <w:trHeight w:val="116"/>
        </w:trPr>
        <w:tc>
          <w:tcPr>
            <w:tcW w:w="4860" w:type="dxa"/>
            <w:gridSpan w:val="3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C1982" w:rsidRPr="002C1982" w:rsidRDefault="002C1982" w:rsidP="002C1982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4496" w:type="dxa"/>
            <w:gridSpan w:val="1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C1982" w:rsidRPr="002C1982" w:rsidRDefault="002C1982" w:rsidP="002C1982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AE3105" w:rsidRPr="009422B8" w:rsidTr="002C1982">
        <w:trPr>
          <w:gridBefore w:val="1"/>
          <w:gridAfter w:val="2"/>
          <w:wBefore w:w="23" w:type="dxa"/>
          <w:wAfter w:w="1552" w:type="dxa"/>
          <w:trHeight w:val="94"/>
        </w:trPr>
        <w:tc>
          <w:tcPr>
            <w:tcW w:w="7641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AE3105" w:rsidRPr="009422B8" w:rsidRDefault="00AE3105" w:rsidP="009422B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9422B8">
              <w:rPr>
                <w:rFonts w:ascii="Trebuchet MS" w:eastAsia="Times New Roman" w:hAnsi="Trebuchet MS" w:cs="Arial"/>
                <w:b/>
                <w:sz w:val="28"/>
                <w:szCs w:val="28"/>
              </w:rPr>
              <w:t>Общие данные</w:t>
            </w:r>
          </w:p>
        </w:tc>
        <w:tc>
          <w:tcPr>
            <w:tcW w:w="171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bottom"/>
          </w:tcPr>
          <w:p w:rsidR="00AE3105" w:rsidRPr="009422B8" w:rsidRDefault="00AE3105" w:rsidP="009422B8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9422B8">
              <w:rPr>
                <w:rFonts w:ascii="Trebuchet MS" w:eastAsia="Times New Roman" w:hAnsi="Trebuchet MS" w:cs="Arial"/>
                <w:b/>
                <w:sz w:val="28"/>
                <w:szCs w:val="28"/>
              </w:rPr>
              <w:t>Ед. изм.</w:t>
            </w:r>
          </w:p>
        </w:tc>
      </w:tr>
      <w:tr w:rsidR="00AE3105" w:rsidRPr="009422B8" w:rsidTr="002C1982">
        <w:trPr>
          <w:gridBefore w:val="1"/>
          <w:gridAfter w:val="2"/>
          <w:wBefore w:w="23" w:type="dxa"/>
          <w:wAfter w:w="1552" w:type="dxa"/>
          <w:trHeight w:val="400"/>
        </w:trPr>
        <w:tc>
          <w:tcPr>
            <w:tcW w:w="56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105" w:rsidRPr="009422B8" w:rsidRDefault="00AE3105" w:rsidP="009422B8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>Наименование СТО: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E3105" w:rsidRPr="009422B8" w:rsidRDefault="00AE3105" w:rsidP="009422B8">
            <w:pPr>
              <w:spacing w:after="0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A64833" w:rsidRPr="009422B8" w:rsidTr="002C1982">
        <w:trPr>
          <w:gridBefore w:val="1"/>
          <w:gridAfter w:val="2"/>
          <w:wBefore w:w="23" w:type="dxa"/>
          <w:wAfter w:w="1552" w:type="dxa"/>
          <w:trHeight w:val="400"/>
        </w:trPr>
        <w:tc>
          <w:tcPr>
            <w:tcW w:w="56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833" w:rsidRPr="009422B8" w:rsidRDefault="00A64833" w:rsidP="009422B8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>
              <w:rPr>
                <w:rFonts w:ascii="Trebuchet MS" w:eastAsia="Times New Roman" w:hAnsi="Trebuchet MS" w:cs="Arial"/>
                <w:sz w:val="26"/>
                <w:szCs w:val="26"/>
              </w:rPr>
              <w:t>Год основания СТО: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64833" w:rsidRPr="009422B8" w:rsidRDefault="00A64833" w:rsidP="009422B8">
            <w:pPr>
              <w:spacing w:after="0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A64833" w:rsidRPr="00A92EF1" w:rsidTr="00F45A49">
        <w:trPr>
          <w:gridBefore w:val="1"/>
          <w:gridAfter w:val="2"/>
          <w:wBefore w:w="23" w:type="dxa"/>
          <w:wAfter w:w="1552" w:type="dxa"/>
          <w:trHeight w:val="1109"/>
        </w:trPr>
        <w:tc>
          <w:tcPr>
            <w:tcW w:w="5670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833" w:rsidRPr="009422B8" w:rsidRDefault="00A64833" w:rsidP="009422B8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>Адрес СТО: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64833" w:rsidRPr="009422B8" w:rsidRDefault="00A64833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E3105" w:rsidRPr="009422B8" w:rsidTr="002C1982">
        <w:trPr>
          <w:gridBefore w:val="1"/>
          <w:gridAfter w:val="2"/>
          <w:wBefore w:w="23" w:type="dxa"/>
          <w:wAfter w:w="1552" w:type="dxa"/>
          <w:trHeight w:val="122"/>
        </w:trPr>
        <w:tc>
          <w:tcPr>
            <w:tcW w:w="5670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105" w:rsidRPr="009422B8" w:rsidRDefault="00AE3105" w:rsidP="009422B8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 xml:space="preserve">Продолжительность периода </w:t>
            </w: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105" w:rsidRPr="009422B8" w:rsidRDefault="00AE3105" w:rsidP="009422B8">
            <w:pPr>
              <w:spacing w:after="0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9422B8" w:rsidRDefault="00AE3105" w:rsidP="00A92EF1">
            <w:pPr>
              <w:spacing w:after="0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>День</w:t>
            </w:r>
          </w:p>
        </w:tc>
      </w:tr>
      <w:tr w:rsidR="00AE3105" w:rsidRPr="009422B8" w:rsidTr="002C1982">
        <w:trPr>
          <w:gridBefore w:val="1"/>
          <w:gridAfter w:val="2"/>
          <w:wBefore w:w="23" w:type="dxa"/>
          <w:wAfter w:w="1552" w:type="dxa"/>
          <w:trHeight w:val="159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05" w:rsidRPr="009422B8" w:rsidRDefault="00AE3105" w:rsidP="009422B8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>Количество рабочих дней в неделе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9422B8" w:rsidRDefault="00AE3105" w:rsidP="009422B8">
            <w:pPr>
              <w:spacing w:after="0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9422B8" w:rsidRDefault="00AE3105" w:rsidP="00A92EF1">
            <w:pPr>
              <w:spacing w:after="0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>Дней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159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2B8" w:rsidRPr="009422B8" w:rsidRDefault="009422B8" w:rsidP="009422B8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>Количество ночных смен за период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9422B8" w:rsidRDefault="009422B8" w:rsidP="009422B8">
            <w:pPr>
              <w:spacing w:after="0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9422B8" w:rsidRDefault="009422B8" w:rsidP="00A92EF1">
            <w:pPr>
              <w:spacing w:after="0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>Смен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159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2B8" w:rsidRPr="009422B8" w:rsidRDefault="009422B8" w:rsidP="009422B8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9422B8">
              <w:rPr>
                <w:rFonts w:ascii="Trebuchet MS" w:eastAsia="Times New Roman" w:hAnsi="Trebuchet MS" w:cs="Arial"/>
                <w:sz w:val="26"/>
                <w:szCs w:val="26"/>
              </w:rPr>
              <w:t>Количество одновременно окрашиваемых цветов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9422B8" w:rsidRDefault="009422B8" w:rsidP="009422B8">
            <w:pPr>
              <w:spacing w:after="0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9422B8" w:rsidRDefault="009422B8" w:rsidP="00A92EF1">
            <w:pPr>
              <w:spacing w:after="0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9422B8" w:rsidRPr="00A92EF1" w:rsidTr="002C1982">
        <w:trPr>
          <w:gridBefore w:val="1"/>
          <w:gridAfter w:val="1"/>
          <w:wBefore w:w="23" w:type="dxa"/>
          <w:wAfter w:w="314" w:type="dxa"/>
          <w:trHeight w:val="136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311"/>
        </w:trPr>
        <w:tc>
          <w:tcPr>
            <w:tcW w:w="7641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Малярно-кузовной цех</w:t>
            </w:r>
          </w:p>
        </w:tc>
        <w:tc>
          <w:tcPr>
            <w:tcW w:w="171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Ед. изм.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186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мест стоянки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proofErr w:type="gramStart"/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м</w:t>
            </w:r>
            <w:proofErr w:type="gramEnd"/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/м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70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Производственная площадь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м</w:t>
            </w:r>
            <w:proofErr w:type="gramStart"/>
            <w:r w:rsidRPr="00A92EF1">
              <w:rPr>
                <w:rFonts w:ascii="Trebuchet MS" w:eastAsia="Times New Roman" w:hAnsi="Trebuchet MS" w:cs="Arial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223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косвенного персонала одновременно (дневная смена)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286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косвенного персонала одновременно (ночная смена)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182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автомобилезаездов за период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Раз</w:t>
            </w:r>
          </w:p>
        </w:tc>
      </w:tr>
      <w:tr w:rsidR="009422B8" w:rsidRPr="009422B8" w:rsidTr="002C1982">
        <w:trPr>
          <w:gridBefore w:val="1"/>
          <w:gridAfter w:val="1"/>
          <w:wBefore w:w="23" w:type="dxa"/>
          <w:wAfter w:w="314" w:type="dxa"/>
          <w:trHeight w:val="24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35"/>
        </w:trPr>
        <w:tc>
          <w:tcPr>
            <w:tcW w:w="7641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Арматурное подразделение</w:t>
            </w:r>
          </w:p>
        </w:tc>
        <w:tc>
          <w:tcPr>
            <w:tcW w:w="171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Ед. изм.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221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рабочих постов без оборудования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70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рабочих постов, оборудованных подъёмниками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283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арматурщиков одновременно (дневная смена)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166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арматурщиков одновременно (ночная смена)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228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стажёров в арматурном подразделении одновременно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110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дневной смены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70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ночной смены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172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рабочего дня стажёров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9422B8" w:rsidRPr="009422B8" w:rsidTr="002C1982">
        <w:trPr>
          <w:gridBefore w:val="1"/>
          <w:gridAfter w:val="2"/>
          <w:wBefore w:w="23" w:type="dxa"/>
          <w:wAfter w:w="1552" w:type="dxa"/>
          <w:trHeight w:val="70"/>
        </w:trPr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2B8" w:rsidRPr="00A92EF1" w:rsidRDefault="009422B8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Выработка за период 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22B8" w:rsidRPr="00A92EF1" w:rsidRDefault="009422B8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Н/ч</w:t>
            </w:r>
          </w:p>
        </w:tc>
      </w:tr>
      <w:tr w:rsidR="00AE3105" w:rsidRPr="009422B8" w:rsidTr="002C1982">
        <w:trPr>
          <w:gridAfter w:val="2"/>
          <w:wAfter w:w="1552" w:type="dxa"/>
          <w:trHeight w:val="303"/>
        </w:trPr>
        <w:tc>
          <w:tcPr>
            <w:tcW w:w="732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lastRenderedPageBreak/>
              <w:t>Жестяницкое подразделение</w:t>
            </w:r>
          </w:p>
        </w:tc>
        <w:tc>
          <w:tcPr>
            <w:tcW w:w="205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Ед. изм.</w:t>
            </w:r>
          </w:p>
        </w:tc>
      </w:tr>
      <w:tr w:rsidR="00AE3105" w:rsidRPr="009422B8" w:rsidTr="002C1982">
        <w:trPr>
          <w:gridAfter w:val="2"/>
          <w:wAfter w:w="1552" w:type="dxa"/>
          <w:trHeight w:val="168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рабочих постов без оборудования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рабочих постов, оборудованных подъёмниками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рабочих постов, оборудованных платформенными стапелями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24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 xml:space="preserve">Количество рабочих </w:t>
            </w:r>
            <w:proofErr w:type="gramStart"/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постов напольной системы исправления геометрии кузова</w:t>
            </w:r>
            <w:proofErr w:type="gramEnd"/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рабочих постов, оборудованных передвижными стапелями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16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жестянщиков одновременно (дневная смена)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AE3105" w:rsidRPr="009422B8" w:rsidTr="002C1982">
        <w:trPr>
          <w:gridAfter w:val="2"/>
          <w:wAfter w:w="1552" w:type="dxa"/>
          <w:trHeight w:val="221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жестянщиков одновременно (ночная смена)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AE3105" w:rsidRPr="009422B8" w:rsidTr="002C1982">
        <w:trPr>
          <w:gridAfter w:val="2"/>
          <w:wAfter w:w="1552" w:type="dxa"/>
          <w:trHeight w:val="9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стажёров в жестяницком подразделении одновременно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дневной смены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ночной смены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рабочего дня стажёров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Выработка за период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Н/ч</w:t>
            </w:r>
          </w:p>
        </w:tc>
      </w:tr>
      <w:tr w:rsidR="00AE3105" w:rsidRPr="009422B8" w:rsidTr="002C1982">
        <w:trPr>
          <w:trHeight w:val="35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AE3105" w:rsidRPr="009422B8" w:rsidTr="002C1982">
        <w:trPr>
          <w:gridAfter w:val="2"/>
          <w:wAfter w:w="1552" w:type="dxa"/>
          <w:trHeight w:val="80"/>
        </w:trPr>
        <w:tc>
          <w:tcPr>
            <w:tcW w:w="732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Малярное подразделение</w:t>
            </w:r>
          </w:p>
        </w:tc>
        <w:tc>
          <w:tcPr>
            <w:tcW w:w="205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Ед. изм.</w:t>
            </w:r>
          </w:p>
        </w:tc>
      </w:tr>
      <w:tr w:rsidR="00AE3105" w:rsidRPr="009422B8" w:rsidTr="002C1982">
        <w:trPr>
          <w:gridAfter w:val="2"/>
          <w:wAfter w:w="1552" w:type="dxa"/>
          <w:trHeight w:val="126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рабочих постов без оборудования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149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окрасочных камер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сушильных камер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окрасочно-сушильных камер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стационарных ПМ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мобильных ПМ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Шт.</w:t>
            </w:r>
          </w:p>
        </w:tc>
      </w:tr>
      <w:tr w:rsidR="00AE3105" w:rsidRPr="009422B8" w:rsidTr="002C1982">
        <w:trPr>
          <w:gridAfter w:val="2"/>
          <w:wAfter w:w="1552" w:type="dxa"/>
          <w:trHeight w:val="103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маляров и подготовщиков одновременно (дневная смена)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маляров и подготовщиков одновременно (ночная смена)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Количество стажёров в малярном подразделении одновременно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Чел.</w:t>
            </w:r>
          </w:p>
        </w:tc>
      </w:tr>
      <w:tr w:rsidR="00AE3105" w:rsidRPr="009422B8" w:rsidTr="002C1982">
        <w:trPr>
          <w:gridAfter w:val="2"/>
          <w:wAfter w:w="1552" w:type="dxa"/>
          <w:trHeight w:val="11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дневной смены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AE3105" w:rsidRPr="009422B8" w:rsidTr="002C1982">
        <w:trPr>
          <w:gridAfter w:val="2"/>
          <w:wAfter w:w="1552" w:type="dxa"/>
          <w:trHeight w:val="147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ночной смены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AE3105" w:rsidRPr="009422B8" w:rsidTr="002C1982">
        <w:trPr>
          <w:gridAfter w:val="2"/>
          <w:wAfter w:w="1552" w:type="dxa"/>
          <w:trHeight w:val="118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Продолжительность рабочего дня стажёров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Час.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Выработка за период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Н/ч</w:t>
            </w:r>
          </w:p>
        </w:tc>
      </w:tr>
      <w:tr w:rsidR="00AE3105" w:rsidRPr="009422B8" w:rsidTr="002C1982">
        <w:trPr>
          <w:trHeight w:val="240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</w:tr>
      <w:tr w:rsidR="00AE3105" w:rsidRPr="009422B8" w:rsidTr="002C1982">
        <w:trPr>
          <w:gridAfter w:val="2"/>
          <w:wAfter w:w="1552" w:type="dxa"/>
          <w:trHeight w:val="35"/>
        </w:trPr>
        <w:tc>
          <w:tcPr>
            <w:tcW w:w="732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Материалы</w:t>
            </w:r>
          </w:p>
        </w:tc>
        <w:tc>
          <w:tcPr>
            <w:tcW w:w="205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</w:rPr>
            </w:pPr>
            <w:r w:rsidRPr="00A92EF1">
              <w:rPr>
                <w:rFonts w:ascii="Trebuchet MS" w:eastAsia="Times New Roman" w:hAnsi="Trebuchet MS" w:cs="Arial"/>
                <w:b/>
                <w:sz w:val="28"/>
                <w:szCs w:val="28"/>
              </w:rPr>
              <w:t>Ед. изм.</w:t>
            </w:r>
          </w:p>
        </w:tc>
      </w:tr>
      <w:tr w:rsidR="00AE3105" w:rsidRPr="009422B8" w:rsidTr="002C1982">
        <w:trPr>
          <w:gridAfter w:val="2"/>
          <w:wAfter w:w="1552" w:type="dxa"/>
          <w:trHeight w:val="70"/>
        </w:trPr>
        <w:tc>
          <w:tcPr>
            <w:tcW w:w="5693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105" w:rsidRPr="00A92EF1" w:rsidRDefault="00AE3105" w:rsidP="00A92EF1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Расход материалов за период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6"/>
                <w:szCs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3105" w:rsidRPr="00A92EF1" w:rsidRDefault="00AE3105" w:rsidP="00A92E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6"/>
                <w:szCs w:val="26"/>
              </w:rPr>
            </w:pPr>
            <w:r w:rsidRPr="00A92EF1">
              <w:rPr>
                <w:rFonts w:ascii="Trebuchet MS" w:eastAsia="Times New Roman" w:hAnsi="Trebuchet MS" w:cs="Arial"/>
                <w:sz w:val="26"/>
                <w:szCs w:val="26"/>
              </w:rPr>
              <w:t>Руб.</w:t>
            </w:r>
          </w:p>
        </w:tc>
      </w:tr>
    </w:tbl>
    <w:p w:rsidR="00AE3105" w:rsidRPr="009422B8" w:rsidRDefault="00AE3105" w:rsidP="00AE3105">
      <w:pPr>
        <w:rPr>
          <w:rFonts w:ascii="Trebuchet MS" w:hAnsi="Trebuchet MS"/>
        </w:rPr>
      </w:pPr>
    </w:p>
    <w:p w:rsidR="00AE3105" w:rsidRPr="000D2E93" w:rsidRDefault="00AE3105" w:rsidP="00AE3105">
      <w:pPr>
        <w:jc w:val="center"/>
        <w:rPr>
          <w:rFonts w:ascii="Trebuchet MS" w:hAnsi="Trebuchet MS" w:cs="Arial"/>
          <w:b/>
          <w:sz w:val="24"/>
          <w:szCs w:val="24"/>
        </w:rPr>
      </w:pPr>
      <w:r w:rsidRPr="000D2E93">
        <w:rPr>
          <w:rFonts w:ascii="Trebuchet MS" w:hAnsi="Trebuchet MS" w:cs="Arial"/>
          <w:b/>
          <w:sz w:val="24"/>
          <w:szCs w:val="24"/>
        </w:rPr>
        <w:lastRenderedPageBreak/>
        <w:t>ТЕРМИНЫ</w:t>
      </w:r>
    </w:p>
    <w:p w:rsidR="00AE3105" w:rsidRPr="000D2E93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>Малярно-кузовной цех</w:t>
      </w:r>
    </w:p>
    <w:p w:rsidR="000D2E93" w:rsidRPr="009422B8" w:rsidRDefault="000D2E93" w:rsidP="000D2E93">
      <w:pPr>
        <w:spacing w:after="0" w:line="240" w:lineRule="auto"/>
        <w:ind w:left="720"/>
        <w:rPr>
          <w:rFonts w:ascii="Trebuchet MS" w:hAnsi="Trebuchet MS" w:cs="Arial"/>
          <w:b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Цех, предназначенный для кузовного ремонта автомобилей. Может быть как самостоятельным предприятием, так и входить в состав дилерского центра продаж и обслуживания автомобилей. В состав малярно-кузовного цеха входят арматурное, жестяницкое и малярное подразделения. В некоторых случаях арматурное и жестяницкое подразделения совмещены (в основном в малярно-кузовных цехах размером не более 7-ми рабочих постов).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Продолжительность периода. </w:t>
      </w:r>
    </w:p>
    <w:p w:rsidR="000D2E93" w:rsidRP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Под продолжительностью периода понимается общее количество дней в рассматриваемом периоде вне зависимости от количества рабочих дней в периоде.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>Количество рабочих дней в неделе.</w:t>
      </w:r>
    </w:p>
    <w:p w:rsidR="000D2E93" w:rsidRP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Под количеством рабочих дней в неделе понимается средняя продолжительность рабочей недели за период с учётом планового выполнения работ в выходные дни.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Количество ночных смен за период. </w:t>
      </w:r>
    </w:p>
    <w:p w:rsidR="000D2E93" w:rsidRP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Под количеством ночных смен за период понимается количество запланированных ночных смен, ночной сменой не считается увеличение рабочего дня вследствие недостатка времени персонала, недостаточной квалификации персонала или перебоев в планировании загрузки малярно-кузовного цеха работой.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Количество мест стоянки. </w:t>
      </w:r>
    </w:p>
    <w:p w:rsidR="000D2E93" w:rsidRP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 xml:space="preserve">Под количеством мест стоянки понимается количество парковочных мест вне производственных помещений малярно-кузовного цеха, предназначенных для временного хранения автомобилей, ожидающих кузовного ремонта, запчастей для проведения кузовного ремонта, согласований со страховой компанией, либо клиентом, а также автомобилей, ожидающих выдачи клиенту после проведения кузовного ремонта. Клиентская парковка и парковки для автомобилей, относящихся к другим подразделения дилерского центра (ТО и </w:t>
      </w:r>
      <w:proofErr w:type="gramStart"/>
      <w:r w:rsidRPr="009422B8">
        <w:rPr>
          <w:rFonts w:ascii="Trebuchet MS" w:hAnsi="Trebuchet MS" w:cs="Arial"/>
        </w:rPr>
        <w:t>ТР</w:t>
      </w:r>
      <w:proofErr w:type="gramEnd"/>
      <w:r w:rsidRPr="009422B8">
        <w:rPr>
          <w:rFonts w:ascii="Trebuchet MS" w:hAnsi="Trebuchet MS" w:cs="Arial"/>
        </w:rPr>
        <w:t>, автосалон) при подсчёте количества мест стоянки не учитываются.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Производственная площадь. </w:t>
      </w:r>
    </w:p>
    <w:p w:rsidR="000D2E93" w:rsidRP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Под производственной площадью понимается площадь, на которой возможно выполнение ремонтных воздействий без помех для других участников производственного процесса. В состав производственных площадей не входят складские, административные, бытовые, технические помещения, парковки. В состав производственных площадей входят рабочие посты, производственные участки, проезды. Проезды включены в состав производственных площадей по причине того, что многие работы при кузовном ремонте выполняются в проездах, а площадь проездов зависит от оптимальности размещения рабочих постов и производственных участков.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Косвенный персонал. </w:t>
      </w:r>
    </w:p>
    <w:p w:rsidR="000D2E93" w:rsidRP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 xml:space="preserve">Под косвенным персоналом понимается персонал, по роду своей деятельности имеющий непосредственное отношение к кузовному производству, но не выполняющих ремонтных операций с автомобилем. В состав косвенного персонала могут входить следующие должности: 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Руководитель МКЦ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Мастер смены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Мастер-приёмщик/мастер-консультант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Менеджер по работе со страховыми компаниями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Диспонент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Диспетчер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Технолог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Руководитель склада ЛКМ</w:t>
      </w:r>
    </w:p>
    <w:p w:rsidR="00AE3105" w:rsidRPr="009422B8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Техник склада ЛКМ</w:t>
      </w:r>
    </w:p>
    <w:p w:rsidR="00AE3105" w:rsidRDefault="00AE3105" w:rsidP="000D2E9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>Колорист</w:t>
      </w:r>
    </w:p>
    <w:p w:rsidR="000D2E93" w:rsidRPr="009422B8" w:rsidRDefault="000D2E93" w:rsidP="000D2E93">
      <w:pPr>
        <w:tabs>
          <w:tab w:val="left" w:pos="851"/>
        </w:tabs>
        <w:spacing w:after="0" w:line="240" w:lineRule="auto"/>
        <w:ind w:left="567"/>
        <w:rPr>
          <w:rFonts w:ascii="Trebuchet MS" w:hAnsi="Trebuchet MS" w:cs="Arial"/>
        </w:rPr>
      </w:pPr>
    </w:p>
    <w:p w:rsidR="00AE3105" w:rsidRPr="000D2E93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Количество автомобилезаездов за период. </w:t>
      </w:r>
    </w:p>
    <w:p w:rsidR="000D2E93" w:rsidRPr="009422B8" w:rsidRDefault="000D2E93" w:rsidP="000D2E93">
      <w:pPr>
        <w:spacing w:after="0" w:line="240" w:lineRule="auto"/>
        <w:rPr>
          <w:rFonts w:ascii="Trebuchet MS" w:hAnsi="Trebuchet MS" w:cs="Arial"/>
          <w:b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 xml:space="preserve">Под количеством автомобилезаездов понимается количество автомобилей, по которым полностью выполнен заявленный объём работ за период. Количество автомобилезаездов может не совпадать с количеством закрытых </w:t>
      </w:r>
      <w:proofErr w:type="gramStart"/>
      <w:r w:rsidRPr="009422B8">
        <w:rPr>
          <w:rFonts w:ascii="Trebuchet MS" w:hAnsi="Trebuchet MS" w:cs="Arial"/>
        </w:rPr>
        <w:t>заказ-нарядов</w:t>
      </w:r>
      <w:proofErr w:type="gramEnd"/>
      <w:r w:rsidRPr="009422B8">
        <w:rPr>
          <w:rFonts w:ascii="Trebuchet MS" w:hAnsi="Trebuchet MS" w:cs="Arial"/>
        </w:rPr>
        <w:t>, поскольку на один автомобилезаезд может быть открыто одновременно несколько заказ-нарядов. Количество автомобилезаездов может не совпадать с количеством автомобилей, принятых в ремонт за период.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Рабочий пост. </w:t>
      </w:r>
    </w:p>
    <w:p w:rsidR="000D2E93" w:rsidRP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 xml:space="preserve">Под рабочим постом понимается </w:t>
      </w:r>
      <w:proofErr w:type="spellStart"/>
      <w:r w:rsidRPr="009422B8">
        <w:rPr>
          <w:rFonts w:ascii="Trebuchet MS" w:hAnsi="Trebuchet MS" w:cs="Arial"/>
        </w:rPr>
        <w:t>автомобилеместо</w:t>
      </w:r>
      <w:proofErr w:type="spellEnd"/>
      <w:r w:rsidRPr="009422B8">
        <w:rPr>
          <w:rFonts w:ascii="Trebuchet MS" w:hAnsi="Trebuchet MS" w:cs="Arial"/>
        </w:rPr>
        <w:t xml:space="preserve">, на котором возможно выполнение ремонта без помех другим участникам производственного процесса. 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Выработка за период. </w:t>
      </w:r>
    </w:p>
    <w:p w:rsidR="000D2E93" w:rsidRP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AE3105" w:rsidRPr="009422B8" w:rsidRDefault="00AE3105" w:rsidP="000D2E93">
      <w:pPr>
        <w:ind w:firstLine="851"/>
        <w:jc w:val="both"/>
        <w:rPr>
          <w:rFonts w:ascii="Trebuchet MS" w:hAnsi="Trebuchet MS" w:cs="Arial"/>
        </w:rPr>
      </w:pPr>
      <w:r w:rsidRPr="009422B8">
        <w:rPr>
          <w:rFonts w:ascii="Trebuchet MS" w:hAnsi="Trebuchet MS" w:cs="Arial"/>
        </w:rPr>
        <w:t xml:space="preserve">Под выработкой понимается количество нормо-часов, содержащихся </w:t>
      </w:r>
      <w:proofErr w:type="gramStart"/>
      <w:r w:rsidRPr="009422B8">
        <w:rPr>
          <w:rFonts w:ascii="Trebuchet MS" w:hAnsi="Trebuchet MS" w:cs="Arial"/>
        </w:rPr>
        <w:t>в</w:t>
      </w:r>
      <w:proofErr w:type="gramEnd"/>
      <w:r w:rsidRPr="009422B8">
        <w:rPr>
          <w:rFonts w:ascii="Trebuchet MS" w:hAnsi="Trebuchet MS" w:cs="Arial"/>
        </w:rPr>
        <w:t xml:space="preserve"> закрытых заказ-нарядах. В выработку за период входят как оплаченные нормо-часы, так и не оплаченные нормо-часы по полностью </w:t>
      </w:r>
      <w:proofErr w:type="gramStart"/>
      <w:r w:rsidRPr="009422B8">
        <w:rPr>
          <w:rFonts w:ascii="Trebuchet MS" w:hAnsi="Trebuchet MS" w:cs="Arial"/>
        </w:rPr>
        <w:t>выполненным</w:t>
      </w:r>
      <w:proofErr w:type="gramEnd"/>
      <w:r w:rsidRPr="009422B8">
        <w:rPr>
          <w:rFonts w:ascii="Trebuchet MS" w:hAnsi="Trebuchet MS" w:cs="Arial"/>
        </w:rPr>
        <w:t xml:space="preserve"> заказ-нарядам.</w:t>
      </w:r>
    </w:p>
    <w:p w:rsidR="00AE3105" w:rsidRDefault="00AE3105" w:rsidP="000D2E93">
      <w:pPr>
        <w:numPr>
          <w:ilvl w:val="0"/>
          <w:numId w:val="26"/>
        </w:numPr>
        <w:spacing w:after="0" w:line="240" w:lineRule="auto"/>
        <w:ind w:left="0" w:hanging="11"/>
        <w:rPr>
          <w:rFonts w:ascii="Trebuchet MS" w:hAnsi="Trebuchet MS" w:cs="Arial"/>
          <w:b/>
          <w:sz w:val="24"/>
          <w:szCs w:val="24"/>
          <w:u w:val="single"/>
        </w:rPr>
      </w:pPr>
      <w:r w:rsidRPr="000D2E93">
        <w:rPr>
          <w:rFonts w:ascii="Trebuchet MS" w:hAnsi="Trebuchet MS" w:cs="Arial"/>
          <w:b/>
          <w:sz w:val="24"/>
          <w:szCs w:val="24"/>
          <w:u w:val="single"/>
        </w:rPr>
        <w:t xml:space="preserve">Расход материалов за период. </w:t>
      </w:r>
    </w:p>
    <w:p w:rsidR="000D2E93" w:rsidRDefault="000D2E93" w:rsidP="000D2E93">
      <w:pPr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783AFD" w:rsidRPr="009422B8" w:rsidRDefault="00AE3105" w:rsidP="000D2E93">
      <w:pPr>
        <w:ind w:firstLine="851"/>
        <w:jc w:val="both"/>
        <w:rPr>
          <w:rFonts w:ascii="Trebuchet MS" w:hAnsi="Trebuchet MS"/>
          <w:sz w:val="28"/>
          <w:szCs w:val="28"/>
        </w:rPr>
      </w:pPr>
      <w:proofErr w:type="gramStart"/>
      <w:r w:rsidRPr="009422B8">
        <w:rPr>
          <w:rFonts w:ascii="Trebuchet MS" w:hAnsi="Trebuchet MS" w:cs="Arial"/>
        </w:rPr>
        <w:t xml:space="preserve">Под расходом материалов за период понимается закупочная сумма израсходованных за период материалов, оплачиваемых клиентом (компоненты краски, лаки, грунты, растворители, отвердители, </w:t>
      </w:r>
      <w:proofErr w:type="spellStart"/>
      <w:r w:rsidRPr="009422B8">
        <w:rPr>
          <w:rFonts w:ascii="Trebuchet MS" w:hAnsi="Trebuchet MS" w:cs="Arial"/>
        </w:rPr>
        <w:t>обезжириватели</w:t>
      </w:r>
      <w:proofErr w:type="spellEnd"/>
      <w:r w:rsidRPr="009422B8">
        <w:rPr>
          <w:rFonts w:ascii="Trebuchet MS" w:hAnsi="Trebuchet MS" w:cs="Arial"/>
        </w:rPr>
        <w:t>, шпатлёвки, ёмкости, абразивные, матирующие, полировальные, укрывочные материалы и пр.), то есть все материалы, тем или иным способом израсходованные непосредственно на кузовной ремонт автомобилей.</w:t>
      </w:r>
      <w:proofErr w:type="gramEnd"/>
      <w:r w:rsidRPr="009422B8">
        <w:rPr>
          <w:rFonts w:ascii="Trebuchet MS" w:hAnsi="Trebuchet MS" w:cs="Arial"/>
        </w:rPr>
        <w:t xml:space="preserve"> В расход материалов не входят материалы для функционирования и обслуживания технологического оборудования и инструмента (дизтопливо, фильтрующие элементы, смазочные материалы, полировальные и шлифовальные основы), малоценный инструмент (шпатели, отвертки и т.д.), материалы для охраны труда, в случае, если они не оплачиваются клиентом.</w:t>
      </w:r>
    </w:p>
    <w:sectPr w:rsidR="00783AFD" w:rsidRPr="009422B8" w:rsidSect="00EC50A7">
      <w:headerReference w:type="default" r:id="rId9"/>
      <w:footerReference w:type="default" r:id="rId10"/>
      <w:pgSz w:w="11906" w:h="16838"/>
      <w:pgMar w:top="1135" w:right="850" w:bottom="1134" w:left="1701" w:header="142" w:footer="1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35" w:rsidRDefault="00A87F35" w:rsidP="002C227E">
      <w:pPr>
        <w:spacing w:after="0" w:line="240" w:lineRule="auto"/>
      </w:pPr>
      <w:r>
        <w:separator/>
      </w:r>
    </w:p>
  </w:endnote>
  <w:endnote w:type="continuationSeparator" w:id="0">
    <w:p w:rsidR="00A87F35" w:rsidRDefault="00A87F35" w:rsidP="002C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211"/>
      <w:gridCol w:w="4360"/>
    </w:tblGrid>
    <w:tr w:rsidR="00EC50A7" w:rsidRPr="00EC50A7" w:rsidTr="00EC50A7">
      <w:trPr>
        <w:trHeight w:val="94"/>
      </w:trPr>
      <w:tc>
        <w:tcPr>
          <w:tcW w:w="5211" w:type="dxa"/>
          <w:tcBorders>
            <w:bottom w:val="nil"/>
          </w:tcBorders>
        </w:tcPr>
        <w:p w:rsidR="00EC50A7" w:rsidRPr="00EC50A7" w:rsidRDefault="00EC50A7" w:rsidP="00DE0D48">
          <w:pPr>
            <w:pStyle w:val="a5"/>
            <w:jc w:val="both"/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u w:val="single"/>
            </w:rPr>
          </w:pPr>
        </w:p>
      </w:tc>
      <w:tc>
        <w:tcPr>
          <w:tcW w:w="4360" w:type="dxa"/>
          <w:tcBorders>
            <w:bottom w:val="nil"/>
          </w:tcBorders>
        </w:tcPr>
        <w:p w:rsidR="00EC50A7" w:rsidRPr="00EC50A7" w:rsidRDefault="00EC50A7" w:rsidP="00DE0D48">
          <w:pPr>
            <w:pStyle w:val="a5"/>
            <w:jc w:val="right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</w:p>
      </w:tc>
    </w:tr>
    <w:tr w:rsidR="00665299" w:rsidRPr="00DE0D48" w:rsidTr="00EC50A7">
      <w:trPr>
        <w:trHeight w:val="94"/>
      </w:trPr>
      <w:tc>
        <w:tcPr>
          <w:tcW w:w="5211" w:type="dxa"/>
          <w:tcBorders>
            <w:top w:val="nil"/>
          </w:tcBorders>
        </w:tcPr>
        <w:p w:rsidR="00665299" w:rsidRPr="001A26F5" w:rsidRDefault="00DE0D48" w:rsidP="00DE0D48">
          <w:pPr>
            <w:pStyle w:val="a5"/>
            <w:jc w:val="both"/>
            <w:rPr>
              <w:rFonts w:ascii="Trebuchet MS" w:hAnsi="Trebuchet MS" w:cs="Times New Roman"/>
              <w:b/>
              <w:color w:val="000000" w:themeColor="text1"/>
              <w:sz w:val="28"/>
              <w:szCs w:val="28"/>
              <w:u w:val="single"/>
            </w:rPr>
          </w:pPr>
          <w:r w:rsidRPr="001A26F5">
            <w:rPr>
              <w:rFonts w:ascii="Trebuchet MS" w:hAnsi="Trebuchet MS" w:cs="Times New Roman"/>
              <w:b/>
              <w:color w:val="000000" w:themeColor="text1"/>
              <w:sz w:val="28"/>
              <w:szCs w:val="28"/>
              <w:u w:val="single"/>
            </w:rPr>
            <w:t>www.europroject.ru</w:t>
          </w:r>
        </w:p>
      </w:tc>
      <w:tc>
        <w:tcPr>
          <w:tcW w:w="4360" w:type="dxa"/>
          <w:tcBorders>
            <w:top w:val="nil"/>
          </w:tcBorders>
        </w:tcPr>
        <w:p w:rsidR="00665299" w:rsidRPr="001A26F5" w:rsidRDefault="00197DA2" w:rsidP="00DE0D48">
          <w:pPr>
            <w:pStyle w:val="a5"/>
            <w:jc w:val="right"/>
            <w:rPr>
              <w:rFonts w:ascii="Trebuchet MS" w:hAnsi="Trebuchet MS" w:cs="Times New Roman"/>
              <w:color w:val="000000" w:themeColor="text1"/>
              <w:sz w:val="28"/>
              <w:szCs w:val="28"/>
            </w:rPr>
          </w:pPr>
          <w:r w:rsidRPr="001A26F5">
            <w:rPr>
              <w:rFonts w:ascii="Trebuchet MS" w:hAnsi="Trebuchet MS" w:cs="Times New Roman"/>
              <w:color w:val="000000" w:themeColor="text1"/>
              <w:sz w:val="28"/>
              <w:szCs w:val="28"/>
            </w:rPr>
            <w:fldChar w:fldCharType="begin"/>
          </w:r>
          <w:r w:rsidR="00DE0D48" w:rsidRPr="001A26F5">
            <w:rPr>
              <w:rFonts w:ascii="Trebuchet MS" w:hAnsi="Trebuchet MS" w:cs="Times New Roman"/>
              <w:color w:val="000000" w:themeColor="text1"/>
              <w:sz w:val="28"/>
              <w:szCs w:val="28"/>
            </w:rPr>
            <w:instrText xml:space="preserve"> PAGE   \* MERGEFORMAT </w:instrText>
          </w:r>
          <w:r w:rsidRPr="001A26F5">
            <w:rPr>
              <w:rFonts w:ascii="Trebuchet MS" w:hAnsi="Trebuchet MS" w:cs="Times New Roman"/>
              <w:color w:val="000000" w:themeColor="text1"/>
              <w:sz w:val="28"/>
              <w:szCs w:val="28"/>
            </w:rPr>
            <w:fldChar w:fldCharType="separate"/>
          </w:r>
          <w:r w:rsidR="00A64833">
            <w:rPr>
              <w:rFonts w:ascii="Trebuchet MS" w:hAnsi="Trebuchet MS" w:cs="Times New Roman"/>
              <w:noProof/>
              <w:color w:val="000000" w:themeColor="text1"/>
              <w:sz w:val="28"/>
              <w:szCs w:val="28"/>
            </w:rPr>
            <w:t>3</w:t>
          </w:r>
          <w:r w:rsidRPr="001A26F5">
            <w:rPr>
              <w:rFonts w:ascii="Trebuchet MS" w:hAnsi="Trebuchet MS" w:cs="Times New Roman"/>
              <w:color w:val="000000" w:themeColor="text1"/>
              <w:sz w:val="28"/>
              <w:szCs w:val="28"/>
            </w:rPr>
            <w:fldChar w:fldCharType="end"/>
          </w:r>
        </w:p>
      </w:tc>
    </w:tr>
  </w:tbl>
  <w:p w:rsidR="002C227E" w:rsidRPr="008718F6" w:rsidRDefault="002C227E" w:rsidP="00EC50A7">
    <w:pPr>
      <w:pStyle w:val="a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35" w:rsidRDefault="00A87F35" w:rsidP="002C227E">
      <w:pPr>
        <w:spacing w:after="0" w:line="240" w:lineRule="auto"/>
      </w:pPr>
      <w:r>
        <w:separator/>
      </w:r>
    </w:p>
  </w:footnote>
  <w:footnote w:type="continuationSeparator" w:id="0">
    <w:p w:rsidR="00A87F35" w:rsidRDefault="00A87F35" w:rsidP="002C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10"/>
      <w:gridCol w:w="5075"/>
    </w:tblGrid>
    <w:tr w:rsidR="00665299" w:rsidRPr="00665299" w:rsidTr="00665299">
      <w:trPr>
        <w:trHeight w:val="1068"/>
      </w:trPr>
      <w:tc>
        <w:tcPr>
          <w:tcW w:w="4510" w:type="dxa"/>
        </w:tcPr>
        <w:p w:rsidR="00665299" w:rsidRDefault="00665299" w:rsidP="00665299">
          <w:pPr>
            <w:pStyle w:val="a3"/>
            <w:ind w:left="-142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1831074" cy="666750"/>
                <wp:effectExtent l="19050" t="0" r="0" b="0"/>
                <wp:docPr id="6" name="Рисунок 5" descr="Непрозрачный логотип ЕП 11111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Непрозрачный логотип ЕП 111111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066" cy="666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5" w:type="dxa"/>
        </w:tcPr>
        <w:p w:rsidR="00665299" w:rsidRPr="00665299" w:rsidRDefault="00665299" w:rsidP="00665299">
          <w:pPr>
            <w:pStyle w:val="a3"/>
            <w:jc w:val="right"/>
            <w:rPr>
              <w:rFonts w:ascii="Times New Roman" w:eastAsiaTheme="majorEastAsia" w:hAnsi="Times New Roman" w:cs="Times New Roman"/>
              <w:b/>
              <w:bCs/>
              <w:color w:val="808080" w:themeColor="background1" w:themeShade="80"/>
              <w:sz w:val="12"/>
              <w:szCs w:val="12"/>
            </w:rPr>
          </w:pPr>
        </w:p>
        <w:p w:rsidR="00665299" w:rsidRPr="00665299" w:rsidRDefault="000D2E93" w:rsidP="00665299">
          <w:pPr>
            <w:pStyle w:val="a3"/>
            <w:jc w:val="right"/>
            <w:rPr>
              <w:rFonts w:ascii="Times New Roman" w:eastAsiaTheme="majorEastAsia" w:hAnsi="Times New Roman" w:cs="Times New Roman"/>
              <w:b/>
              <w:bCs/>
              <w:color w:val="808080" w:themeColor="background1" w:themeShade="80"/>
              <w:sz w:val="32"/>
              <w:szCs w:val="32"/>
            </w:rPr>
          </w:pPr>
          <w:r>
            <w:rPr>
              <w:rFonts w:ascii="Times New Roman" w:eastAsiaTheme="majorEastAsia" w:hAnsi="Times New Roman" w:cs="Times New Roman"/>
              <w:b/>
              <w:bCs/>
              <w:noProof/>
              <w:color w:val="808080" w:themeColor="background1" w:themeShade="80"/>
              <w:sz w:val="32"/>
              <w:szCs w:val="32"/>
            </w:rPr>
            <w:drawing>
              <wp:inline distT="0" distB="0" distL="0" distR="0">
                <wp:extent cx="594000" cy="576000"/>
                <wp:effectExtent l="19050" t="0" r="0" b="0"/>
                <wp:docPr id="1" name="Рисунок 0" descr="R-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-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227E" w:rsidRDefault="002C227E" w:rsidP="00DA1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436"/>
    <w:multiLevelType w:val="hybridMultilevel"/>
    <w:tmpl w:val="3C529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D615E"/>
    <w:multiLevelType w:val="hybridMultilevel"/>
    <w:tmpl w:val="7B5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B2D"/>
    <w:multiLevelType w:val="hybridMultilevel"/>
    <w:tmpl w:val="7946E9BE"/>
    <w:lvl w:ilvl="0" w:tplc="4668968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97E1AC3"/>
    <w:multiLevelType w:val="hybridMultilevel"/>
    <w:tmpl w:val="AB56905E"/>
    <w:lvl w:ilvl="0" w:tplc="EDD000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B67"/>
    <w:multiLevelType w:val="hybridMultilevel"/>
    <w:tmpl w:val="06E03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F9A06FB"/>
    <w:multiLevelType w:val="hybridMultilevel"/>
    <w:tmpl w:val="15C6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7769A"/>
    <w:multiLevelType w:val="hybridMultilevel"/>
    <w:tmpl w:val="0736F782"/>
    <w:lvl w:ilvl="0" w:tplc="EE0C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25E30">
      <w:numFmt w:val="none"/>
      <w:lvlText w:val=""/>
      <w:lvlJc w:val="left"/>
      <w:pPr>
        <w:tabs>
          <w:tab w:val="num" w:pos="360"/>
        </w:tabs>
      </w:pPr>
    </w:lvl>
    <w:lvl w:ilvl="2" w:tplc="F3886E7A">
      <w:numFmt w:val="none"/>
      <w:lvlText w:val=""/>
      <w:lvlJc w:val="left"/>
      <w:pPr>
        <w:tabs>
          <w:tab w:val="num" w:pos="360"/>
        </w:tabs>
      </w:pPr>
    </w:lvl>
    <w:lvl w:ilvl="3" w:tplc="AE5CABE0">
      <w:numFmt w:val="none"/>
      <w:lvlText w:val=""/>
      <w:lvlJc w:val="left"/>
      <w:pPr>
        <w:tabs>
          <w:tab w:val="num" w:pos="360"/>
        </w:tabs>
      </w:pPr>
    </w:lvl>
    <w:lvl w:ilvl="4" w:tplc="30D48E92">
      <w:numFmt w:val="none"/>
      <w:lvlText w:val=""/>
      <w:lvlJc w:val="left"/>
      <w:pPr>
        <w:tabs>
          <w:tab w:val="num" w:pos="360"/>
        </w:tabs>
      </w:pPr>
    </w:lvl>
    <w:lvl w:ilvl="5" w:tplc="0E68F3C2">
      <w:numFmt w:val="none"/>
      <w:lvlText w:val=""/>
      <w:lvlJc w:val="left"/>
      <w:pPr>
        <w:tabs>
          <w:tab w:val="num" w:pos="360"/>
        </w:tabs>
      </w:pPr>
    </w:lvl>
    <w:lvl w:ilvl="6" w:tplc="E194AC2C">
      <w:numFmt w:val="none"/>
      <w:lvlText w:val=""/>
      <w:lvlJc w:val="left"/>
      <w:pPr>
        <w:tabs>
          <w:tab w:val="num" w:pos="360"/>
        </w:tabs>
      </w:pPr>
    </w:lvl>
    <w:lvl w:ilvl="7" w:tplc="7E725B60">
      <w:numFmt w:val="none"/>
      <w:lvlText w:val=""/>
      <w:lvlJc w:val="left"/>
      <w:pPr>
        <w:tabs>
          <w:tab w:val="num" w:pos="360"/>
        </w:tabs>
      </w:pPr>
    </w:lvl>
    <w:lvl w:ilvl="8" w:tplc="D48695D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1D6B63"/>
    <w:multiLevelType w:val="hybridMultilevel"/>
    <w:tmpl w:val="F774B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15F4C"/>
    <w:multiLevelType w:val="hybridMultilevel"/>
    <w:tmpl w:val="85BE5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84492"/>
    <w:multiLevelType w:val="hybridMultilevel"/>
    <w:tmpl w:val="C1BA79D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D0532FE"/>
    <w:multiLevelType w:val="hybridMultilevel"/>
    <w:tmpl w:val="EEF4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E0BC7"/>
    <w:multiLevelType w:val="hybridMultilevel"/>
    <w:tmpl w:val="165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B41D5"/>
    <w:multiLevelType w:val="hybridMultilevel"/>
    <w:tmpl w:val="6194C69C"/>
    <w:lvl w:ilvl="0" w:tplc="EF7C1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E46226">
      <w:start w:val="5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E125CC"/>
    <w:multiLevelType w:val="hybridMultilevel"/>
    <w:tmpl w:val="61F69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23B76"/>
    <w:multiLevelType w:val="hybridMultilevel"/>
    <w:tmpl w:val="D5CC9E5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7D54A90"/>
    <w:multiLevelType w:val="multilevel"/>
    <w:tmpl w:val="75A80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2D46B8"/>
    <w:multiLevelType w:val="hybridMultilevel"/>
    <w:tmpl w:val="76FE78D8"/>
    <w:lvl w:ilvl="0" w:tplc="FCE46226">
      <w:start w:val="5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82C1C"/>
    <w:multiLevelType w:val="hybridMultilevel"/>
    <w:tmpl w:val="C682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F4F18"/>
    <w:multiLevelType w:val="hybridMultilevel"/>
    <w:tmpl w:val="23106500"/>
    <w:lvl w:ilvl="0" w:tplc="FCE46226">
      <w:start w:val="5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96A96"/>
    <w:multiLevelType w:val="hybridMultilevel"/>
    <w:tmpl w:val="B26A3C5A"/>
    <w:lvl w:ilvl="0" w:tplc="C9601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905154">
      <w:numFmt w:val="none"/>
      <w:lvlText w:val=""/>
      <w:lvlJc w:val="left"/>
      <w:pPr>
        <w:tabs>
          <w:tab w:val="num" w:pos="360"/>
        </w:tabs>
      </w:pPr>
    </w:lvl>
    <w:lvl w:ilvl="2" w:tplc="9CCCDE84">
      <w:numFmt w:val="none"/>
      <w:lvlText w:val=""/>
      <w:lvlJc w:val="left"/>
      <w:pPr>
        <w:tabs>
          <w:tab w:val="num" w:pos="360"/>
        </w:tabs>
      </w:pPr>
    </w:lvl>
    <w:lvl w:ilvl="3" w:tplc="1DB865B6">
      <w:numFmt w:val="none"/>
      <w:lvlText w:val=""/>
      <w:lvlJc w:val="left"/>
      <w:pPr>
        <w:tabs>
          <w:tab w:val="num" w:pos="360"/>
        </w:tabs>
      </w:pPr>
    </w:lvl>
    <w:lvl w:ilvl="4" w:tplc="6FDCC1E2">
      <w:numFmt w:val="none"/>
      <w:lvlText w:val=""/>
      <w:lvlJc w:val="left"/>
      <w:pPr>
        <w:tabs>
          <w:tab w:val="num" w:pos="360"/>
        </w:tabs>
      </w:pPr>
    </w:lvl>
    <w:lvl w:ilvl="5" w:tplc="A73E77E8">
      <w:numFmt w:val="none"/>
      <w:lvlText w:val=""/>
      <w:lvlJc w:val="left"/>
      <w:pPr>
        <w:tabs>
          <w:tab w:val="num" w:pos="360"/>
        </w:tabs>
      </w:pPr>
    </w:lvl>
    <w:lvl w:ilvl="6" w:tplc="6BBEC952">
      <w:numFmt w:val="none"/>
      <w:lvlText w:val=""/>
      <w:lvlJc w:val="left"/>
      <w:pPr>
        <w:tabs>
          <w:tab w:val="num" w:pos="360"/>
        </w:tabs>
      </w:pPr>
    </w:lvl>
    <w:lvl w:ilvl="7" w:tplc="F2A64F36">
      <w:numFmt w:val="none"/>
      <w:lvlText w:val=""/>
      <w:lvlJc w:val="left"/>
      <w:pPr>
        <w:tabs>
          <w:tab w:val="num" w:pos="360"/>
        </w:tabs>
      </w:pPr>
    </w:lvl>
    <w:lvl w:ilvl="8" w:tplc="36F253B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17F1BEB"/>
    <w:multiLevelType w:val="hybridMultilevel"/>
    <w:tmpl w:val="8290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C7C7D"/>
    <w:multiLevelType w:val="hybridMultilevel"/>
    <w:tmpl w:val="22A2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D2D84"/>
    <w:multiLevelType w:val="hybridMultilevel"/>
    <w:tmpl w:val="3EE8A96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88408830">
      <w:start w:val="1"/>
      <w:numFmt w:val="decimal"/>
      <w:lvlText w:val="%3."/>
      <w:lvlJc w:val="left"/>
      <w:pPr>
        <w:ind w:left="3003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73170700"/>
    <w:multiLevelType w:val="hybridMultilevel"/>
    <w:tmpl w:val="739E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A7C44"/>
    <w:multiLevelType w:val="hybridMultilevel"/>
    <w:tmpl w:val="0D942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3D3EDE"/>
    <w:multiLevelType w:val="hybridMultilevel"/>
    <w:tmpl w:val="1DE64F82"/>
    <w:lvl w:ilvl="0" w:tplc="FCE46226">
      <w:start w:val="5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33C15"/>
    <w:multiLevelType w:val="hybridMultilevel"/>
    <w:tmpl w:val="5050A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12"/>
  </w:num>
  <w:num w:numId="9">
    <w:abstractNumId w:val="19"/>
  </w:num>
  <w:num w:numId="10">
    <w:abstractNumId w:val="24"/>
  </w:num>
  <w:num w:numId="11">
    <w:abstractNumId w:val="0"/>
  </w:num>
  <w:num w:numId="12">
    <w:abstractNumId w:val="26"/>
  </w:num>
  <w:num w:numId="13">
    <w:abstractNumId w:val="7"/>
  </w:num>
  <w:num w:numId="14">
    <w:abstractNumId w:val="13"/>
  </w:num>
  <w:num w:numId="15">
    <w:abstractNumId w:val="23"/>
  </w:num>
  <w:num w:numId="16">
    <w:abstractNumId w:val="17"/>
  </w:num>
  <w:num w:numId="17">
    <w:abstractNumId w:val="20"/>
  </w:num>
  <w:num w:numId="18">
    <w:abstractNumId w:val="11"/>
  </w:num>
  <w:num w:numId="19">
    <w:abstractNumId w:val="21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  <w:num w:numId="24">
    <w:abstractNumId w:val="1"/>
  </w:num>
  <w:num w:numId="25">
    <w:abstractNumId w:val="22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27E"/>
    <w:rsid w:val="000D09A8"/>
    <w:rsid w:val="000D2E93"/>
    <w:rsid w:val="00137B05"/>
    <w:rsid w:val="001419CA"/>
    <w:rsid w:val="00197DA2"/>
    <w:rsid w:val="001A26F5"/>
    <w:rsid w:val="001E1D07"/>
    <w:rsid w:val="002156E1"/>
    <w:rsid w:val="00217182"/>
    <w:rsid w:val="00280F12"/>
    <w:rsid w:val="002A356F"/>
    <w:rsid w:val="002C1982"/>
    <w:rsid w:val="002C227E"/>
    <w:rsid w:val="002D3743"/>
    <w:rsid w:val="00306E29"/>
    <w:rsid w:val="00315F94"/>
    <w:rsid w:val="00333CD6"/>
    <w:rsid w:val="003506DD"/>
    <w:rsid w:val="003641B6"/>
    <w:rsid w:val="003A34C7"/>
    <w:rsid w:val="004072E6"/>
    <w:rsid w:val="00467D3F"/>
    <w:rsid w:val="004D3544"/>
    <w:rsid w:val="00517122"/>
    <w:rsid w:val="005217D4"/>
    <w:rsid w:val="005517B4"/>
    <w:rsid w:val="00583E10"/>
    <w:rsid w:val="005C59BB"/>
    <w:rsid w:val="00607E55"/>
    <w:rsid w:val="006530DB"/>
    <w:rsid w:val="00665299"/>
    <w:rsid w:val="00715152"/>
    <w:rsid w:val="00733E33"/>
    <w:rsid w:val="00783AFD"/>
    <w:rsid w:val="008718F6"/>
    <w:rsid w:val="009422B8"/>
    <w:rsid w:val="00A455D9"/>
    <w:rsid w:val="00A5792C"/>
    <w:rsid w:val="00A64833"/>
    <w:rsid w:val="00A87F35"/>
    <w:rsid w:val="00A92EF1"/>
    <w:rsid w:val="00AA20E5"/>
    <w:rsid w:val="00AE3105"/>
    <w:rsid w:val="00B1476D"/>
    <w:rsid w:val="00B61D57"/>
    <w:rsid w:val="00B74FE2"/>
    <w:rsid w:val="00B925A2"/>
    <w:rsid w:val="00C26CD6"/>
    <w:rsid w:val="00C50D98"/>
    <w:rsid w:val="00C71F89"/>
    <w:rsid w:val="00C9776F"/>
    <w:rsid w:val="00CA2815"/>
    <w:rsid w:val="00CD4E51"/>
    <w:rsid w:val="00CE002E"/>
    <w:rsid w:val="00CE29DC"/>
    <w:rsid w:val="00CF7F82"/>
    <w:rsid w:val="00D66ECD"/>
    <w:rsid w:val="00DA1EB8"/>
    <w:rsid w:val="00DD7396"/>
    <w:rsid w:val="00DE0D48"/>
    <w:rsid w:val="00E070CC"/>
    <w:rsid w:val="00E43A7D"/>
    <w:rsid w:val="00EC36F9"/>
    <w:rsid w:val="00EC50A7"/>
    <w:rsid w:val="00F106A8"/>
    <w:rsid w:val="00F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27E"/>
  </w:style>
  <w:style w:type="paragraph" w:styleId="a5">
    <w:name w:val="footer"/>
    <w:basedOn w:val="a"/>
    <w:link w:val="a6"/>
    <w:uiPriority w:val="99"/>
    <w:unhideWhenUsed/>
    <w:rsid w:val="002C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27E"/>
  </w:style>
  <w:style w:type="character" w:styleId="a7">
    <w:name w:val="Hyperlink"/>
    <w:basedOn w:val="a0"/>
    <w:uiPriority w:val="99"/>
    <w:unhideWhenUsed/>
    <w:rsid w:val="00137B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6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33E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8C86-F88D-4F0A-AF74-FFBB723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Алексей</cp:lastModifiedBy>
  <cp:revision>3</cp:revision>
  <cp:lastPrinted>2012-09-28T12:09:00Z</cp:lastPrinted>
  <dcterms:created xsi:type="dcterms:W3CDTF">2012-10-10T08:27:00Z</dcterms:created>
  <dcterms:modified xsi:type="dcterms:W3CDTF">2015-01-23T08:10:00Z</dcterms:modified>
</cp:coreProperties>
</file>